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F3" w:rsidRDefault="003B79F3" w:rsidP="006540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</w:pPr>
      <w:r w:rsidRPr="00B82312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it-IT"/>
        </w:rPr>
        <w:t>ERASMUS PLUS – DAY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, relatrice la dott.ssa Elena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Bettini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, dell’Agenzia INDIRE, martedì 11 marzo 2014 presso l’Aula Magna dell’Istituto d’Istruzione Superiore “Galileo Galilei – Tommaso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Campailla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” di Modica.</w:t>
      </w:r>
    </w:p>
    <w:p w:rsidR="003B79F3" w:rsidRDefault="003B79F3" w:rsidP="006540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E’ questo il secondo dei quattro incontri programmati nell’ambito del progetto “</w:t>
      </w:r>
      <w:r w:rsidRPr="00B82312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it-IT"/>
        </w:rPr>
        <w:t>L’Europa per i giovani. Dove va l’Europa?”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dall’entusiasmo europeista della prof.ssa Maria Vittoria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Mulliri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e prontamente sostenuto e condiviso dal dirigente scolastico, prof. Sergio Carruba, da tutto il corpo docente, dagli studenti e dal personale scolastico. L’iniziativa avrà il suo epilogo il 9 maggio con la celebrazione della Festa dell’Europa, una manifestazione di creatività, musica, arte</w:t>
      </w:r>
      <w:r w:rsidR="00B8231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, approfondimenti tematici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estesa </w:t>
      </w:r>
      <w:r w:rsidR="00B8231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non solo al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le scuole di Modica, ma </w:t>
      </w:r>
      <w:r w:rsidR="00B8231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a quelle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di tutta la provincia.</w:t>
      </w:r>
    </w:p>
    <w:p w:rsidR="003B79F3" w:rsidRDefault="003B79F3" w:rsidP="006540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</w:pPr>
    </w:p>
    <w:p w:rsidR="00654064" w:rsidRDefault="00B82312" w:rsidP="006540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I</w:t>
      </w:r>
      <w:r w:rsidR="00654064"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l nuovo </w:t>
      </w:r>
      <w:r w:rsidR="00654064" w:rsidRPr="00B82312"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FFFFF"/>
          <w:lang w:eastAsia="it-IT"/>
        </w:rPr>
        <w:t>programma</w:t>
      </w:r>
      <w:r w:rsidR="00654064" w:rsidRPr="00B82312">
        <w:rPr>
          <w:rFonts w:ascii="Tahoma" w:eastAsia="Times New Roman" w:hAnsi="Tahoma" w:cs="Tahoma"/>
          <w:b/>
          <w:bCs/>
          <w:color w:val="0070C0"/>
          <w:sz w:val="24"/>
          <w:szCs w:val="24"/>
          <w:shd w:val="clear" w:color="auto" w:fill="FFFFFF"/>
          <w:lang w:eastAsia="it-IT"/>
        </w:rPr>
        <w:t> comunitario Erasmus plus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,</w:t>
      </w:r>
      <w:r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entrato in vigore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d</w:t>
      </w:r>
      <w:r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a gennaio 2014 </w:t>
      </w:r>
      <w:r w:rsidR="00654064"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riunisce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,</w:t>
      </w:r>
      <w:r w:rsidR="00654064"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in un’unica struttura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, non solo</w:t>
      </w:r>
      <w:r w:rsidR="00654064"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attività precedentemente oggetto di una serie di programmi separati</w:t>
      </w:r>
      <w:r w:rsid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, ma </w:t>
      </w:r>
      <w:r w:rsidR="00654064"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comprende anche azioni nel nuovo settore di competenza europea, lo sport</w:t>
      </w:r>
      <w:r w:rsid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654064" w:rsidRPr="00B82312" w:rsidRDefault="00654064" w:rsidP="006540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</w:pPr>
      <w:r w:rsidRPr="0065406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</w:t>
      </w:r>
      <w:r w:rsidRPr="0065406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</w:r>
      <w:r w:rsidRPr="00B82312"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FFFFF"/>
          <w:lang w:eastAsia="it-IT"/>
        </w:rPr>
        <w:t>L’Erasmus plus</w:t>
      </w:r>
      <w:r w:rsidRPr="00B8231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 xml:space="preserve"> finanzia opportunità di studio, formazione, insegnamento e volontariato internazionali. Destinatari principali di Erasmus plus sono non solo gli studenti  universitari, ma anche quelli delle scuole, degli istituti professionali, i formatori, gli insegnanti, i tirocinanti e giovani lavoratori.</w:t>
      </w:r>
    </w:p>
    <w:p w:rsidR="00654064" w:rsidRPr="00654064" w:rsidRDefault="00654064" w:rsidP="0065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231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65406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Dei 16 miliardi del budget il 77.5% è destinato ai settori Istruzione e Formazione, un extra 3.5% è destinato al nuovo "</w:t>
      </w:r>
      <w:proofErr w:type="spellStart"/>
      <w:r w:rsidRPr="006540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Loan</w:t>
      </w:r>
      <w:proofErr w:type="spellEnd"/>
      <w:r w:rsidRPr="006540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540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Guarantee</w:t>
      </w:r>
      <w:proofErr w:type="spellEnd"/>
      <w:r w:rsidRPr="006540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540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Facility</w:t>
      </w:r>
      <w:proofErr w:type="spellEnd"/>
      <w:r w:rsidRPr="006540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", un prestito d'onore per laureati in mobilità. Il settore Gioventù riceverà il 10%, mentre allo Sport sarà destinato l'1.8% dei fondi.</w:t>
      </w:r>
    </w:p>
    <w:p w:rsidR="00654064" w:rsidRPr="003877BF" w:rsidRDefault="00654064" w:rsidP="0065406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5406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Saranno oltre</w:t>
      </w:r>
      <w:r w:rsidRPr="006540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4 milioni </w:t>
      </w:r>
      <w:r w:rsidRPr="0065406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persone che potranno beneficiare di finanziamenti europei per cogliere le opportunità di studio e formazione all’estero tra il 2014 ed il 2020, raddoppiando quasi il volume delle persone che al momento hanno usufruito di tali opportunità</w:t>
      </w: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.</w:t>
      </w:r>
    </w:p>
    <w:p w:rsidR="00654064" w:rsidRDefault="00654064" w:rsidP="006540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654064" w:rsidRDefault="00654064" w:rsidP="006540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877B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PUNTI CHIAVE </w:t>
      </w:r>
      <w:proofErr w:type="spellStart"/>
      <w:r w:rsidRPr="003877B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it-IT"/>
        </w:rPr>
        <w:t>DI</w:t>
      </w:r>
      <w:proofErr w:type="spellEnd"/>
      <w:r w:rsidRPr="003877B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 ERASMUS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it-IT"/>
        </w:rPr>
        <w:t>plus</w:t>
      </w: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</w:r>
    </w:p>
    <w:p w:rsidR="00FC4BC9" w:rsidRDefault="00654064" w:rsidP="0065406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Aiuta i giovani a acquisire competenze aggiuntive tramite lo studio e la formazione all’estero</w:t>
      </w:r>
    </w:p>
    <w:p w:rsidR="00654064" w:rsidRPr="00FC4BC9" w:rsidRDefault="00654064" w:rsidP="0065406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Innalza la qualità dell’insegnamento in Europa e oltre</w:t>
      </w:r>
    </w:p>
    <w:p w:rsidR="00654064" w:rsidRPr="003877BF" w:rsidRDefault="00654064" w:rsidP="00654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Supporta gli Stati Membri e i paesi partner nella modernizzazione dei sistemi di istruzione e della formazione professionale</w:t>
      </w:r>
    </w:p>
    <w:p w:rsidR="00654064" w:rsidRPr="003877BF" w:rsidRDefault="00654064" w:rsidP="00654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Promuove la partecipazione dei giovani nella società</w:t>
      </w:r>
    </w:p>
    <w:p w:rsidR="00654064" w:rsidRPr="003877BF" w:rsidRDefault="00654064" w:rsidP="00654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Sostiene l’insegnamento e la ricerca sull’integrazione europeo</w:t>
      </w:r>
    </w:p>
    <w:p w:rsidR="00654064" w:rsidRPr="003877BF" w:rsidRDefault="00654064" w:rsidP="00654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877B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Sostiene gli sport popolari</w:t>
      </w:r>
    </w:p>
    <w:p w:rsidR="00654064" w:rsidRPr="00FC4BC9" w:rsidRDefault="00654064" w:rsidP="0065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Cosa cambia con Eras</w:t>
      </w:r>
      <w:r w:rsidR="00FC4BC9" w:rsidRPr="00FC4BC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mus plus</w:t>
      </w: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lastRenderedPageBreak/>
        <w:t>Più opportunità per l’educazione superiore e per gli studenti in formazione per studiare e formarsi all’estero per migliorare le loro capacità e le prospettive di lavoro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Più opportunità per docenti, formatori e giovani lavoratori di studiare e formarsi in un altro paese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Più opportunità per i giovani di apprendere attraverso scambi, volontariato e partecipazione alla vita democratica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Più opportunità per le istituzioni educative e di formazione di scambio di buone pratiche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Maggiore cooperazione tra istituzioni educative, aziende o autorità regionali e altre organizzazioni, quali organizzazioni di giovani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Lancio delle “</w:t>
      </w:r>
      <w:proofErr w:type="spellStart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knowledge</w:t>
      </w:r>
      <w:proofErr w:type="spellEnd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proofErr w:type="spellStart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alliances</w:t>
      </w:r>
      <w:proofErr w:type="spellEnd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” tra istituti di istruzione superiore e aziende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Espansione delle iniziative di </w:t>
      </w:r>
      <w:proofErr w:type="spellStart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eTwinning</w:t>
      </w:r>
      <w:proofErr w:type="spellEnd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per collegare le scuole via internet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Migliore cooperazione nelle politiche educative, con un</w:t>
      </w:r>
      <w:r w:rsid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’</w:t>
      </w: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enfasi sui risultati pratici tipo </w:t>
      </w:r>
      <w:proofErr w:type="spellStart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Europass</w:t>
      </w:r>
      <w:proofErr w:type="spellEnd"/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CV, in uso oggi da oltre 10 milioni di europei</w:t>
      </w:r>
    </w:p>
    <w:p w:rsidR="00654064" w:rsidRPr="00FC4BC9" w:rsidRDefault="00654064" w:rsidP="00654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C4BC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Più sostegno all’istruzione superiore in altre parti del mondo, in particolare nei paesi confinanti</w:t>
      </w:r>
    </w:p>
    <w:p w:rsidR="00654064" w:rsidRPr="003877BF" w:rsidRDefault="00654064" w:rsidP="00654064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654064" w:rsidRPr="003877BF" w:rsidRDefault="00654064" w:rsidP="00654064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F671AC" w:rsidRDefault="00F671AC" w:rsidP="00A476BC">
      <w:pPr>
        <w:autoSpaceDE w:val="0"/>
        <w:autoSpaceDN w:val="0"/>
        <w:adjustRightInd w:val="0"/>
        <w:spacing w:after="0" w:line="240" w:lineRule="auto"/>
        <w:rPr>
          <w:rFonts w:ascii="Karbon-Semibold" w:hAnsi="Karbon-Semibold" w:cs="Karbon-Semibold"/>
          <w:color w:val="007FC8"/>
          <w:sz w:val="36"/>
          <w:szCs w:val="36"/>
        </w:rPr>
      </w:pPr>
    </w:p>
    <w:p w:rsidR="00A476BC" w:rsidRDefault="00A476BC" w:rsidP="00A476BC">
      <w:pPr>
        <w:autoSpaceDE w:val="0"/>
        <w:autoSpaceDN w:val="0"/>
        <w:adjustRightInd w:val="0"/>
        <w:spacing w:after="0" w:line="240" w:lineRule="auto"/>
        <w:rPr>
          <w:rFonts w:ascii="Karbon-Semibold" w:hAnsi="Karbon-Semibold" w:cs="Karbon-Semibold"/>
          <w:color w:val="007FC8"/>
          <w:sz w:val="36"/>
          <w:szCs w:val="36"/>
        </w:rPr>
      </w:pPr>
      <w:r>
        <w:rPr>
          <w:rFonts w:ascii="Karbon-Semibold" w:hAnsi="Karbon-Semibold" w:cs="Karbon-Semibold"/>
          <w:color w:val="007FC8"/>
          <w:sz w:val="36"/>
          <w:szCs w:val="36"/>
        </w:rPr>
        <w:t>Erasmus</w:t>
      </w:r>
      <w:r w:rsidR="00FC4BC9">
        <w:rPr>
          <w:rFonts w:ascii="Karbon-Semibold" w:hAnsi="Karbon-Semibold" w:cs="Karbon-Semibold"/>
          <w:color w:val="007FC8"/>
          <w:sz w:val="36"/>
          <w:szCs w:val="36"/>
        </w:rPr>
        <w:t xml:space="preserve"> plus</w:t>
      </w:r>
      <w:r>
        <w:rPr>
          <w:rFonts w:ascii="Karbon-Semibold" w:hAnsi="Karbon-Semibold" w:cs="Karbon-Semibold"/>
          <w:color w:val="007FC8"/>
          <w:sz w:val="36"/>
          <w:szCs w:val="36"/>
        </w:rPr>
        <w:t xml:space="preserve"> sostiene: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Opportunità di studiare, formarsi, effettuare esperienze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lavorative o di volontariato all’estero.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Opportunità di insegnare o di studiare all’estero per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il personale attivo nei settori dell'istruzione, della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formazione e dei giovani.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Sviluppo dell’educazione digitale e dell’uso delle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tecnologie dell’informazione e della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comunicazione (TIC).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Apprendimento delle lingue.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Riconoscimento delle competenze, comprese quelle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acquisite al di fuori del sistema formale di istruzione.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Partenariati Strategici tra organismi dell’istruzione 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formazione, organizzazioni giovanili e altri attori simili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provenienti da settori analoghi o differenti in altri Paesi,per promuovere un 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>a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pprendimento più innovativo 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di qualità.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Alleanze della conoscenza e alleanze delle abilità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settoriali, per colmare le lacune di competenze e per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promuovere l’imprenditorialità, migliorando i </w:t>
      </w:r>
      <w:proofErr w:type="spellStart"/>
      <w:r w:rsidRPr="00FC4BC9">
        <w:rPr>
          <w:rFonts w:ascii="Karbon-Regular" w:hAnsi="Karbon-Regular" w:cs="Karbon-Regular"/>
          <w:color w:val="181716"/>
          <w:sz w:val="24"/>
          <w:szCs w:val="24"/>
        </w:rPr>
        <w:t>curricula</w:t>
      </w:r>
      <w:proofErr w:type="spellEnd"/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e le qualificazioni, intensificando la collaborazione tra il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mondo del lavoro e quello dell’istruzione.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Possibilità per gli studenti di master di ottenere un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prestito d'onore per finanziare i propri studi in un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altro Paese.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Insegnamento e ricerca sull’integrazione europea.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Scambi, collaborazione e rafforzamento delle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competenze nei settori dell’istruzione superiore e della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gioventù in tutto il mondo.</w:t>
      </w:r>
    </w:p>
    <w:p w:rsidR="00A476BC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Iniziative per promuovere l’innovazione in campo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pedagogico e una progressiva riforma delle politiche a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livello nazionale, attraverso Iniziative di Sviluppo.</w:t>
      </w:r>
    </w:p>
    <w:p w:rsidR="00D4708E" w:rsidRPr="00FC4BC9" w:rsidRDefault="00A476BC" w:rsidP="00FC4B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rbon-Regular" w:hAnsi="Karbon-Regular" w:cs="Karbon-Regular"/>
          <w:color w:val="181716"/>
          <w:sz w:val="24"/>
          <w:szCs w:val="24"/>
        </w:rPr>
      </w:pPr>
      <w:r w:rsidRPr="00FC4BC9">
        <w:rPr>
          <w:rFonts w:ascii="Karbon-Regular" w:hAnsi="Karbon-Regular" w:cs="Karbon-Regular"/>
          <w:color w:val="181716"/>
          <w:sz w:val="24"/>
          <w:szCs w:val="24"/>
        </w:rPr>
        <w:t>Promozione di una buona governance nel settore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sportivo e di iniziative contro le partite combinate,il doping, la violenza, il razzismo e l’intolleranza, in</w:t>
      </w:r>
      <w:r w:rsidR="00FC4BC9" w:rsidRPr="00FC4BC9">
        <w:rPr>
          <w:rFonts w:ascii="Karbon-Regular" w:hAnsi="Karbon-Regular" w:cs="Karbon-Regular"/>
          <w:color w:val="181716"/>
          <w:sz w:val="24"/>
          <w:szCs w:val="24"/>
        </w:rPr>
        <w:t xml:space="preserve"> </w:t>
      </w:r>
      <w:r w:rsidRPr="00FC4BC9">
        <w:rPr>
          <w:rFonts w:ascii="Karbon-Regular" w:hAnsi="Karbon-Regular" w:cs="Karbon-Regular"/>
          <w:color w:val="181716"/>
          <w:sz w:val="24"/>
          <w:szCs w:val="24"/>
        </w:rPr>
        <w:t>particolare negli sport più popolari.</w:t>
      </w:r>
    </w:p>
    <w:sectPr w:rsidR="00D4708E" w:rsidRPr="00FC4BC9" w:rsidSect="00D47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bon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b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71C"/>
    <w:multiLevelType w:val="hybridMultilevel"/>
    <w:tmpl w:val="93D6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03B"/>
    <w:multiLevelType w:val="hybridMultilevel"/>
    <w:tmpl w:val="1FBA9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13EA"/>
    <w:multiLevelType w:val="multilevel"/>
    <w:tmpl w:val="58B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94174"/>
    <w:multiLevelType w:val="hybridMultilevel"/>
    <w:tmpl w:val="42AA0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8238B"/>
    <w:multiLevelType w:val="multilevel"/>
    <w:tmpl w:val="A8F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76BC"/>
    <w:rsid w:val="000B455D"/>
    <w:rsid w:val="00242374"/>
    <w:rsid w:val="003B79F3"/>
    <w:rsid w:val="00654064"/>
    <w:rsid w:val="009320A0"/>
    <w:rsid w:val="00A476BC"/>
    <w:rsid w:val="00B82312"/>
    <w:rsid w:val="00D4708E"/>
    <w:rsid w:val="00F671AC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</dc:creator>
  <cp:keywords/>
  <dc:description/>
  <cp:lastModifiedBy>Lic</cp:lastModifiedBy>
  <cp:revision>2</cp:revision>
  <cp:lastPrinted>2014-03-06T20:04:00Z</cp:lastPrinted>
  <dcterms:created xsi:type="dcterms:W3CDTF">2014-03-06T20:06:00Z</dcterms:created>
  <dcterms:modified xsi:type="dcterms:W3CDTF">2014-03-06T20:06:00Z</dcterms:modified>
</cp:coreProperties>
</file>